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52061A" w:rsidP="00AE2536">
      <w:pPr>
        <w:jc w:val="center"/>
        <w:rPr>
          <w:sz w:val="28"/>
          <w:szCs w:val="28"/>
        </w:rPr>
      </w:pPr>
      <w:r>
        <w:rPr>
          <w:sz w:val="28"/>
          <w:szCs w:val="28"/>
        </w:rPr>
        <w:t>28</w:t>
      </w:r>
      <w:r w:rsidR="00475144">
        <w:rPr>
          <w:sz w:val="28"/>
          <w:szCs w:val="28"/>
        </w:rPr>
        <w:t>.12</w:t>
      </w:r>
      <w:r w:rsidR="00AE2536" w:rsidRPr="00AE2536">
        <w:rPr>
          <w:sz w:val="28"/>
          <w:szCs w:val="28"/>
        </w:rPr>
        <w:t>.20</w:t>
      </w:r>
      <w:r w:rsidR="00970F2F">
        <w:rPr>
          <w:sz w:val="28"/>
          <w:szCs w:val="28"/>
        </w:rPr>
        <w:t>2</w:t>
      </w:r>
      <w:r>
        <w:rPr>
          <w:sz w:val="28"/>
          <w:szCs w:val="28"/>
        </w:rPr>
        <w:t>4</w:t>
      </w:r>
      <w:r w:rsidR="00AF7DE6">
        <w:rPr>
          <w:sz w:val="28"/>
          <w:szCs w:val="28"/>
        </w:rPr>
        <w:t xml:space="preserve">                         № </w:t>
      </w:r>
      <w:r>
        <w:rPr>
          <w:sz w:val="28"/>
          <w:szCs w:val="28"/>
        </w:rPr>
        <w:t>161</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52061A" w:rsidRPr="0052061A" w:rsidRDefault="0052061A" w:rsidP="0052061A">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52061A">
        <w:rPr>
          <w:rFonts w:eastAsiaTheme="minorEastAsia"/>
          <w:sz w:val="28"/>
          <w:szCs w:val="28"/>
          <w:lang w:eastAsia="en-US"/>
        </w:rPr>
        <w:t xml:space="preserve">В соответствии с </w:t>
      </w:r>
      <w:r w:rsidRPr="0052061A">
        <w:rPr>
          <w:rFonts w:ascii="Times New Roman CYR" w:hAnsi="Times New Roman CYR" w:cs="Times New Roman CYR"/>
          <w:sz w:val="28"/>
          <w:szCs w:val="28"/>
        </w:rPr>
        <w:t xml:space="preserve">Решениями Собрания депутатов </w:t>
      </w:r>
      <w:r w:rsidRPr="0052061A">
        <w:rPr>
          <w:rFonts w:eastAsiaTheme="minorEastAsia"/>
          <w:sz w:val="28"/>
          <w:szCs w:val="28"/>
          <w:lang w:eastAsia="en-US"/>
        </w:rPr>
        <w:t>Елизаветовского сельского поселения</w:t>
      </w:r>
      <w:r w:rsidRPr="0052061A">
        <w:rPr>
          <w:rFonts w:ascii="Times New Roman CYR" w:hAnsi="Times New Roman CYR" w:cs="Times New Roman CYR"/>
          <w:sz w:val="28"/>
          <w:szCs w:val="28"/>
        </w:rPr>
        <w:t xml:space="preserve"> Азовского района</w:t>
      </w:r>
      <w:r w:rsidRPr="0052061A">
        <w:rPr>
          <w:rFonts w:eastAsiaTheme="minorEastAsia"/>
          <w:sz w:val="28"/>
          <w:szCs w:val="28"/>
          <w:lang w:eastAsia="en-US"/>
        </w:rPr>
        <w:t xml:space="preserve"> </w:t>
      </w:r>
      <w:r w:rsidRPr="0052061A">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52061A">
        <w:rPr>
          <w:rFonts w:ascii="Times New Roman CYR" w:hAnsi="Times New Roman CYR" w:cs="Times New Roman CYR"/>
          <w:sz w:val="28"/>
          <w:szCs w:val="28"/>
        </w:rPr>
        <w:t xml:space="preserve"> плановый  период 2026 и  2027 годов», </w:t>
      </w:r>
      <w:r w:rsidRPr="0052061A">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52061A">
        <w:rPr>
          <w:rFonts w:eastAsiaTheme="minorEastAsia"/>
          <w:bCs/>
          <w:sz w:val="28"/>
          <w:szCs w:val="28"/>
        </w:rPr>
        <w:softHyphen/>
        <w:t>ния»</w:t>
      </w:r>
      <w:r w:rsidRPr="0052061A">
        <w:rPr>
          <w:rFonts w:eastAsiaTheme="minorEastAsia"/>
          <w:sz w:val="28"/>
          <w:szCs w:val="28"/>
        </w:rPr>
        <w:t>,  А</w:t>
      </w:r>
      <w:r w:rsidRPr="0052061A">
        <w:rPr>
          <w:rFonts w:eastAsiaTheme="minorEastAsia"/>
          <w:sz w:val="28"/>
          <w:szCs w:val="28"/>
          <w:lang w:eastAsia="en-US"/>
        </w:rPr>
        <w:t xml:space="preserve">дминистрация  Елизаветовского сельского поселения, </w:t>
      </w:r>
      <w:proofErr w:type="gramStart"/>
      <w:r w:rsidRPr="0052061A">
        <w:rPr>
          <w:rFonts w:eastAsiaTheme="minorEastAsia"/>
          <w:b/>
          <w:sz w:val="28"/>
          <w:szCs w:val="28"/>
          <w:lang w:eastAsia="en-US"/>
        </w:rPr>
        <w:t>п</w:t>
      </w:r>
      <w:proofErr w:type="gramEnd"/>
      <w:r w:rsidRPr="0052061A">
        <w:rPr>
          <w:rFonts w:eastAsiaTheme="minorEastAsia"/>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126E15">
              <w:rPr>
                <w:sz w:val="28"/>
                <w:szCs w:val="28"/>
              </w:rPr>
              <w:t>20,5</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461E21">
              <w:rPr>
                <w:sz w:val="28"/>
                <w:szCs w:val="28"/>
              </w:rPr>
              <w:t>1,7</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sidR="00461E21">
              <w:rPr>
                <w:sz w:val="28"/>
                <w:szCs w:val="28"/>
              </w:rPr>
              <w:t>1,5</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52061A">
              <w:rPr>
                <w:sz w:val="28"/>
                <w:szCs w:val="28"/>
              </w:rPr>
              <w:t>1,5</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lastRenderedPageBreak/>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5A6924" w:rsidP="008248D0">
            <w:pPr>
              <w:rPr>
                <w:sz w:val="28"/>
                <w:szCs w:val="28"/>
              </w:rPr>
            </w:pPr>
            <w:r>
              <w:rPr>
                <w:spacing w:val="-10"/>
                <w:kern w:val="2"/>
                <w:sz w:val="28"/>
                <w:szCs w:val="28"/>
              </w:rPr>
              <w:t>20,</w:t>
            </w:r>
            <w:r w:rsidR="00126E15">
              <w:rPr>
                <w:spacing w:val="-10"/>
                <w:kern w:val="2"/>
                <w:sz w:val="28"/>
                <w:szCs w:val="28"/>
              </w:rPr>
              <w:t>5</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461E21" w:rsidP="008248D0">
            <w:pPr>
              <w:widowControl w:val="0"/>
              <w:suppressAutoHyphens/>
              <w:snapToGrid w:val="0"/>
              <w:jc w:val="both"/>
              <w:rPr>
                <w:sz w:val="20"/>
                <w:szCs w:val="20"/>
                <w:lang w:eastAsia="ar-SA"/>
              </w:rPr>
            </w:pPr>
            <w:r>
              <w:rPr>
                <w:spacing w:val="-10"/>
                <w:kern w:val="2"/>
                <w:sz w:val="28"/>
                <w:szCs w:val="28"/>
              </w:rPr>
              <w:t>1,7</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w:t>
            </w:r>
            <w:r w:rsidR="00461E21">
              <w:rPr>
                <w:spacing w:val="-10"/>
                <w:kern w:val="2"/>
                <w:sz w:val="28"/>
                <w:szCs w:val="28"/>
              </w:rPr>
              <w:t>5</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w:t>
            </w:r>
            <w:r w:rsidR="00126E15">
              <w:rPr>
                <w:spacing w:val="-10"/>
                <w:kern w:val="2"/>
                <w:sz w:val="28"/>
                <w:szCs w:val="28"/>
              </w:rPr>
              <w:t>5</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126E15" w:rsidRPr="00F75E87" w:rsidTr="00D12C4D">
        <w:trPr>
          <w:cantSplit/>
          <w:trHeight w:val="1134"/>
        </w:trPr>
        <w:tc>
          <w:tcPr>
            <w:tcW w:w="1805" w:type="dxa"/>
            <w:vMerge/>
            <w:hideMark/>
          </w:tcPr>
          <w:p w:rsidR="00126E15" w:rsidRPr="00F75E87" w:rsidRDefault="00126E15" w:rsidP="008248D0">
            <w:pPr>
              <w:autoSpaceDE w:val="0"/>
              <w:autoSpaceDN w:val="0"/>
              <w:adjustRightInd w:val="0"/>
              <w:rPr>
                <w:kern w:val="2"/>
                <w:sz w:val="28"/>
                <w:szCs w:val="28"/>
              </w:rPr>
            </w:pPr>
          </w:p>
        </w:tc>
        <w:tc>
          <w:tcPr>
            <w:tcW w:w="1214" w:type="dxa"/>
            <w:hideMark/>
          </w:tcPr>
          <w:p w:rsidR="00126E15" w:rsidRPr="00F75E87" w:rsidRDefault="00126E15"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126E15" w:rsidRPr="00F75E87" w:rsidRDefault="00126E15" w:rsidP="008248D0">
            <w:pPr>
              <w:autoSpaceDE w:val="0"/>
              <w:autoSpaceDN w:val="0"/>
              <w:adjustRightInd w:val="0"/>
              <w:rPr>
                <w:kern w:val="2"/>
                <w:sz w:val="28"/>
                <w:szCs w:val="28"/>
              </w:rPr>
            </w:pPr>
          </w:p>
        </w:tc>
        <w:tc>
          <w:tcPr>
            <w:tcW w:w="331" w:type="dxa"/>
            <w:textDirection w:val="btLr"/>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26E15" w:rsidRPr="00F75E87" w:rsidRDefault="00126E15" w:rsidP="0056026D">
            <w:pPr>
              <w:rPr>
                <w:sz w:val="28"/>
                <w:szCs w:val="28"/>
              </w:rPr>
            </w:pPr>
            <w:r>
              <w:rPr>
                <w:spacing w:val="-10"/>
                <w:kern w:val="2"/>
                <w:sz w:val="28"/>
                <w:szCs w:val="28"/>
              </w:rPr>
              <w:t>20,5</w:t>
            </w:r>
          </w:p>
        </w:tc>
        <w:tc>
          <w:tcPr>
            <w:tcW w:w="799"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9"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66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rPr>
          <w:cantSplit/>
          <w:trHeight w:val="1134"/>
        </w:trPr>
        <w:tc>
          <w:tcPr>
            <w:tcW w:w="1805" w:type="dxa"/>
            <w:hideMark/>
          </w:tcPr>
          <w:p w:rsidR="00126E15" w:rsidRPr="00F75E87" w:rsidRDefault="00126E15"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126E15" w:rsidRPr="00F75E87" w:rsidRDefault="00126E15"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26E15" w:rsidRPr="00F75E87" w:rsidRDefault="00126E15" w:rsidP="0056026D">
            <w:pPr>
              <w:rPr>
                <w:sz w:val="28"/>
                <w:szCs w:val="28"/>
              </w:rPr>
            </w:pPr>
            <w:r>
              <w:rPr>
                <w:spacing w:val="-10"/>
                <w:kern w:val="2"/>
                <w:sz w:val="28"/>
                <w:szCs w:val="28"/>
              </w:rPr>
              <w:t>20,5</w:t>
            </w:r>
          </w:p>
        </w:tc>
        <w:tc>
          <w:tcPr>
            <w:tcW w:w="799"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9"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66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126E15" w:rsidRPr="00F75E87" w:rsidTr="00D12C4D">
        <w:trPr>
          <w:cantSplit/>
          <w:trHeight w:val="1134"/>
        </w:trPr>
        <w:tc>
          <w:tcPr>
            <w:tcW w:w="1805" w:type="dxa"/>
            <w:hideMark/>
          </w:tcPr>
          <w:p w:rsidR="00126E15" w:rsidRPr="00F75E87" w:rsidRDefault="00126E15"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126E15" w:rsidRPr="00F75E87" w:rsidRDefault="00126E15"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126E15" w:rsidRPr="00F75E87" w:rsidRDefault="00126E15" w:rsidP="0056026D">
            <w:pPr>
              <w:rPr>
                <w:sz w:val="28"/>
                <w:szCs w:val="28"/>
              </w:rPr>
            </w:pPr>
            <w:r>
              <w:rPr>
                <w:spacing w:val="-10"/>
                <w:kern w:val="2"/>
                <w:sz w:val="28"/>
                <w:szCs w:val="28"/>
              </w:rPr>
              <w:t>20,5</w:t>
            </w:r>
          </w:p>
        </w:tc>
        <w:tc>
          <w:tcPr>
            <w:tcW w:w="799"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9"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66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126E15" w:rsidRPr="00F75E87" w:rsidTr="00D12C4D">
        <w:tc>
          <w:tcPr>
            <w:tcW w:w="1844" w:type="dxa"/>
            <w:vMerge w:val="restart"/>
            <w:hideMark/>
          </w:tcPr>
          <w:p w:rsidR="00126E15" w:rsidRPr="00F75E87" w:rsidRDefault="00126E15" w:rsidP="008248D0">
            <w:pPr>
              <w:autoSpaceDE w:val="0"/>
              <w:autoSpaceDN w:val="0"/>
              <w:adjustRightInd w:val="0"/>
              <w:spacing w:line="223" w:lineRule="auto"/>
              <w:rPr>
                <w:kern w:val="2"/>
                <w:sz w:val="28"/>
                <w:szCs w:val="28"/>
              </w:rPr>
            </w:pPr>
            <w:bookmarkStart w:id="0" w:name="_GoBack" w:colFirst="2" w:colLast="14"/>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c>
          <w:tcPr>
            <w:tcW w:w="1844" w:type="dxa"/>
            <w:vMerge/>
            <w:hideMark/>
          </w:tcPr>
          <w:p w:rsidR="00126E15" w:rsidRPr="00F75E87" w:rsidRDefault="00126E15" w:rsidP="008248D0">
            <w:pPr>
              <w:autoSpaceDE w:val="0"/>
              <w:autoSpaceDN w:val="0"/>
              <w:adjustRightInd w:val="0"/>
              <w:spacing w:line="223" w:lineRule="auto"/>
              <w:rPr>
                <w:kern w:val="2"/>
                <w:sz w:val="28"/>
                <w:szCs w:val="28"/>
              </w:rPr>
            </w:pPr>
          </w:p>
        </w:tc>
        <w:tc>
          <w:tcPr>
            <w:tcW w:w="1714" w:type="dxa"/>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c>
          <w:tcPr>
            <w:tcW w:w="1844" w:type="dxa"/>
            <w:vMerge w:val="restart"/>
            <w:hideMark/>
          </w:tcPr>
          <w:p w:rsidR="00126E15" w:rsidRPr="00F75E87" w:rsidRDefault="00126E15" w:rsidP="008248D0">
            <w:pPr>
              <w:widowControl w:val="0"/>
              <w:autoSpaceDE w:val="0"/>
              <w:autoSpaceDN w:val="0"/>
              <w:adjustRightInd w:val="0"/>
              <w:spacing w:line="211" w:lineRule="auto"/>
              <w:rPr>
                <w:kern w:val="2"/>
                <w:sz w:val="28"/>
                <w:szCs w:val="28"/>
              </w:rPr>
            </w:pPr>
            <w:r w:rsidRPr="00F75E87">
              <w:rPr>
                <w:kern w:val="2"/>
                <w:sz w:val="28"/>
                <w:szCs w:val="28"/>
              </w:rPr>
              <w:lastRenderedPageBreak/>
              <w:t>Подпрограмма 1</w:t>
            </w:r>
          </w:p>
          <w:p w:rsidR="00126E15" w:rsidRPr="00F75E87" w:rsidRDefault="00126E15"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126E15" w:rsidRPr="00F75E87" w:rsidRDefault="00126E15"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c>
          <w:tcPr>
            <w:tcW w:w="1844" w:type="dxa"/>
            <w:vMerge/>
            <w:hideMark/>
          </w:tcPr>
          <w:p w:rsidR="00126E15" w:rsidRPr="00F75E87" w:rsidRDefault="00126E15" w:rsidP="008248D0">
            <w:pPr>
              <w:widowControl w:val="0"/>
              <w:autoSpaceDE w:val="0"/>
              <w:autoSpaceDN w:val="0"/>
              <w:adjustRightInd w:val="0"/>
              <w:spacing w:line="211" w:lineRule="auto"/>
              <w:rPr>
                <w:kern w:val="2"/>
                <w:sz w:val="28"/>
                <w:szCs w:val="28"/>
              </w:rPr>
            </w:pPr>
          </w:p>
        </w:tc>
        <w:tc>
          <w:tcPr>
            <w:tcW w:w="1714" w:type="dxa"/>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bl>
    <w:bookmarkEnd w:id="0"/>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4F" w:rsidRDefault="0074364F">
      <w:r>
        <w:separator/>
      </w:r>
    </w:p>
  </w:endnote>
  <w:endnote w:type="continuationSeparator" w:id="0">
    <w:p w:rsidR="0074364F" w:rsidRDefault="0074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26E15">
      <w:rPr>
        <w:rStyle w:val="a8"/>
        <w:noProof/>
      </w:rPr>
      <w:t>8</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4F" w:rsidRDefault="0074364F">
      <w:r>
        <w:separator/>
      </w:r>
    </w:p>
  </w:footnote>
  <w:footnote w:type="continuationSeparator" w:id="0">
    <w:p w:rsidR="0074364F" w:rsidRDefault="00743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26E15"/>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76B37"/>
    <w:rsid w:val="00180498"/>
    <w:rsid w:val="00180BE6"/>
    <w:rsid w:val="00180DC8"/>
    <w:rsid w:val="00182747"/>
    <w:rsid w:val="0018364C"/>
    <w:rsid w:val="001944CB"/>
    <w:rsid w:val="001A00CC"/>
    <w:rsid w:val="001A025A"/>
    <w:rsid w:val="001A1D80"/>
    <w:rsid w:val="001A3815"/>
    <w:rsid w:val="001A3C28"/>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043"/>
    <w:rsid w:val="00433608"/>
    <w:rsid w:val="004338B9"/>
    <w:rsid w:val="004346F7"/>
    <w:rsid w:val="00435338"/>
    <w:rsid w:val="00435E22"/>
    <w:rsid w:val="0044623D"/>
    <w:rsid w:val="00447B4E"/>
    <w:rsid w:val="0045019B"/>
    <w:rsid w:val="00452602"/>
    <w:rsid w:val="00453F69"/>
    <w:rsid w:val="0045506A"/>
    <w:rsid w:val="00457001"/>
    <w:rsid w:val="00461E21"/>
    <w:rsid w:val="00471633"/>
    <w:rsid w:val="004724F6"/>
    <w:rsid w:val="00475144"/>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989"/>
    <w:rsid w:val="00510D41"/>
    <w:rsid w:val="00512F39"/>
    <w:rsid w:val="005136E1"/>
    <w:rsid w:val="00514167"/>
    <w:rsid w:val="00514CAE"/>
    <w:rsid w:val="00514F13"/>
    <w:rsid w:val="005151FF"/>
    <w:rsid w:val="00515D6C"/>
    <w:rsid w:val="005161A8"/>
    <w:rsid w:val="00516969"/>
    <w:rsid w:val="0051710E"/>
    <w:rsid w:val="0052061A"/>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4F"/>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0F2F"/>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2F4A"/>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D1D2-D590-4D17-A2E0-BBBBBBFA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6008</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10</cp:revision>
  <cp:lastPrinted>2021-07-28T11:04:00Z</cp:lastPrinted>
  <dcterms:created xsi:type="dcterms:W3CDTF">2023-03-09T10:51:00Z</dcterms:created>
  <dcterms:modified xsi:type="dcterms:W3CDTF">2025-01-15T07:34:00Z</dcterms:modified>
</cp:coreProperties>
</file>